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523" w:rsidRPr="00A967B1" w:rsidRDefault="009A22BE" w:rsidP="001C5963">
      <w:pPr>
        <w:jc w:val="center"/>
        <w:rPr>
          <w:rFonts w:cs="Times New Roman"/>
          <w:b/>
          <w:sz w:val="24"/>
          <w:szCs w:val="24"/>
        </w:rPr>
      </w:pPr>
      <w:r w:rsidRPr="00A967B1">
        <w:rPr>
          <w:rFonts w:cs="Times New Roman"/>
          <w:b/>
          <w:sz w:val="24"/>
          <w:szCs w:val="24"/>
        </w:rPr>
        <w:t>Terminology finding</w:t>
      </w:r>
      <w:r w:rsidR="001A5AF8" w:rsidRPr="00A967B1">
        <w:rPr>
          <w:rFonts w:cs="Times New Roman"/>
          <w:b/>
          <w:sz w:val="24"/>
          <w:szCs w:val="24"/>
        </w:rPr>
        <w:t>, parallel corpora and bilingual word sketches</w:t>
      </w:r>
      <w:r w:rsidR="001C5963" w:rsidRPr="00A967B1">
        <w:rPr>
          <w:rFonts w:cs="Times New Roman"/>
          <w:b/>
          <w:sz w:val="24"/>
          <w:szCs w:val="24"/>
        </w:rPr>
        <w:t xml:space="preserve"> in the Sketch Engine</w:t>
      </w:r>
    </w:p>
    <w:p w:rsidR="001C5963" w:rsidRDefault="001C5963" w:rsidP="00F11C30">
      <w:pPr>
        <w:spacing w:after="0"/>
        <w:jc w:val="center"/>
        <w:rPr>
          <w:rFonts w:cs="Times New Roman"/>
          <w:b/>
        </w:rPr>
      </w:pPr>
      <w:r w:rsidRPr="00A967B1">
        <w:rPr>
          <w:rFonts w:cs="Times New Roman"/>
          <w:b/>
        </w:rPr>
        <w:t>Adam Kilgarriff</w:t>
      </w:r>
    </w:p>
    <w:p w:rsidR="00F11C30" w:rsidRPr="00F11C30" w:rsidRDefault="00F11C30" w:rsidP="00F11C30">
      <w:pPr>
        <w:spacing w:after="0"/>
        <w:jc w:val="center"/>
        <w:rPr>
          <w:rFonts w:cs="Times New Roman"/>
        </w:rPr>
      </w:pPr>
      <w:r>
        <w:rPr>
          <w:rFonts w:cs="Times New Roman"/>
        </w:rPr>
        <w:t>adam@lexmasterclass.com</w:t>
      </w:r>
    </w:p>
    <w:p w:rsidR="001C5963" w:rsidRPr="00A967B1" w:rsidRDefault="001C5963" w:rsidP="00F11C30">
      <w:pPr>
        <w:spacing w:after="0"/>
        <w:jc w:val="center"/>
        <w:rPr>
          <w:rFonts w:cs="Times New Roman"/>
          <w:b/>
        </w:rPr>
      </w:pPr>
      <w:r w:rsidRPr="00A967B1">
        <w:rPr>
          <w:rFonts w:cs="Times New Roman"/>
          <w:b/>
        </w:rPr>
        <w:t>Lexical Computing Ltd., Brighton, UK</w:t>
      </w:r>
    </w:p>
    <w:p w:rsidR="00F11C30" w:rsidRDefault="00F11C30" w:rsidP="00F11C30">
      <w:pPr>
        <w:spacing w:after="0"/>
        <w:rPr>
          <w:rFonts w:cs="Times New Roman"/>
        </w:rPr>
      </w:pPr>
    </w:p>
    <w:p w:rsidR="001C5963" w:rsidRPr="00A967B1" w:rsidRDefault="001C5963" w:rsidP="00F11C30">
      <w:pPr>
        <w:spacing w:after="0"/>
        <w:rPr>
          <w:rFonts w:cs="Times New Roman"/>
        </w:rPr>
      </w:pPr>
      <w:r w:rsidRPr="00A967B1">
        <w:rPr>
          <w:rFonts w:cs="Times New Roman"/>
        </w:rPr>
        <w:t xml:space="preserve">The </w:t>
      </w:r>
      <w:hyperlink r:id="rId8" w:history="1">
        <w:r w:rsidRPr="004B2D7A">
          <w:rPr>
            <w:rStyle w:val="Hyperlink"/>
            <w:rFonts w:cs="Times New Roman"/>
          </w:rPr>
          <w:t>Sketch Engine</w:t>
        </w:r>
      </w:hyperlink>
      <w:r w:rsidRPr="00A967B1">
        <w:rPr>
          <w:rFonts w:cs="Times New Roman"/>
        </w:rPr>
        <w:t xml:space="preserve"> is a leading cor</w:t>
      </w:r>
      <w:r w:rsidR="00FE5BA5" w:rsidRPr="00A967B1">
        <w:rPr>
          <w:rFonts w:cs="Times New Roman"/>
        </w:rPr>
        <w:t>pus query tool, in use for lexi</w:t>
      </w:r>
      <w:r w:rsidRPr="00A967B1">
        <w:rPr>
          <w:rFonts w:cs="Times New Roman"/>
        </w:rPr>
        <w:t xml:space="preserve">cography at OUP, CUP, Collins, Le Robert and </w:t>
      </w:r>
      <w:proofErr w:type="spellStart"/>
      <w:r w:rsidRPr="00A967B1">
        <w:rPr>
          <w:rFonts w:cs="Times New Roman"/>
        </w:rPr>
        <w:t>Cornelsen</w:t>
      </w:r>
      <w:proofErr w:type="spellEnd"/>
      <w:r w:rsidRPr="00A967B1">
        <w:rPr>
          <w:rFonts w:cs="Times New Roman"/>
        </w:rPr>
        <w:t>, and at national language institutes of eight countries, and for teaching and research in many universities.  Its distinctive feature is the ‘word sketch’ a one page, automatic, corpus, derived summary of a word’s grammatical and collocational behaviour.  Very large corpora and wor</w:t>
      </w:r>
      <w:r w:rsidR="00526F65" w:rsidRPr="00A967B1">
        <w:rPr>
          <w:rFonts w:cs="Times New Roman"/>
        </w:rPr>
        <w:t>d sketches are available for six</w:t>
      </w:r>
      <w:r w:rsidRPr="00A967B1">
        <w:rPr>
          <w:rFonts w:cs="Times New Roman"/>
        </w:rPr>
        <w:t>ty languages.</w:t>
      </w:r>
    </w:p>
    <w:p w:rsidR="00C06266" w:rsidRPr="00A967B1" w:rsidRDefault="001C5963" w:rsidP="00C06266">
      <w:pPr>
        <w:rPr>
          <w:rFonts w:cs="Times New Roman"/>
        </w:rPr>
      </w:pPr>
      <w:r w:rsidRPr="00A967B1">
        <w:rPr>
          <w:rFonts w:cs="Times New Roman"/>
        </w:rPr>
        <w:t xml:space="preserve">A number of tools and resources have recently been added with translators and terminologists in mind.  </w:t>
      </w:r>
      <w:r w:rsidR="006B63CC">
        <w:rPr>
          <w:rFonts w:cs="Times New Roman"/>
        </w:rPr>
        <w:t>The resources are parallel corpora:</w:t>
      </w:r>
      <w:r w:rsidR="00047FFA">
        <w:rPr>
          <w:rFonts w:cs="Times New Roman"/>
        </w:rPr>
        <w:t xml:space="preserve"> EUROPARL-7 and the various datasets available in the OPUS collection.  The tools are </w:t>
      </w:r>
      <w:r w:rsidR="009A22BE" w:rsidRPr="00A967B1">
        <w:rPr>
          <w:rFonts w:cs="Times New Roman"/>
        </w:rPr>
        <w:t xml:space="preserve"> bilingual word sketches and the term</w:t>
      </w:r>
      <w:r w:rsidR="00526F65" w:rsidRPr="00A967B1">
        <w:rPr>
          <w:rFonts w:cs="Times New Roman"/>
        </w:rPr>
        <w:t xml:space="preserve"> </w:t>
      </w:r>
      <w:r w:rsidR="009A22BE" w:rsidRPr="00A967B1">
        <w:rPr>
          <w:rFonts w:cs="Times New Roman"/>
        </w:rPr>
        <w:t>fi</w:t>
      </w:r>
      <w:r w:rsidR="00047FFA">
        <w:rPr>
          <w:rFonts w:cs="Times New Roman"/>
        </w:rPr>
        <w:t>nder</w:t>
      </w:r>
      <w:r w:rsidR="009A22BE" w:rsidRPr="00A967B1">
        <w:rPr>
          <w:rFonts w:cs="Times New Roman"/>
        </w:rPr>
        <w:t>.</w:t>
      </w:r>
      <w:r w:rsidR="00282C16" w:rsidRPr="00A967B1">
        <w:rPr>
          <w:rFonts w:cs="Times New Roman"/>
        </w:rPr>
        <w:t xml:space="preserve"> </w:t>
      </w:r>
    </w:p>
    <w:p w:rsidR="002C4480" w:rsidRPr="00A967B1" w:rsidRDefault="002C4480" w:rsidP="00C06266">
      <w:pPr>
        <w:rPr>
          <w:rFonts w:cs="Times New Roman"/>
          <w:b/>
        </w:rPr>
      </w:pPr>
      <w:r w:rsidRPr="00A967B1">
        <w:rPr>
          <w:rFonts w:cs="Times New Roman"/>
          <w:b/>
        </w:rPr>
        <w:t xml:space="preserve">Parallel </w:t>
      </w:r>
      <w:proofErr w:type="spellStart"/>
      <w:r w:rsidRPr="00A967B1">
        <w:rPr>
          <w:rFonts w:cs="Times New Roman"/>
          <w:b/>
        </w:rPr>
        <w:t>concordancing</w:t>
      </w:r>
      <w:proofErr w:type="spellEnd"/>
    </w:p>
    <w:p w:rsidR="00C06266" w:rsidRPr="00A967B1" w:rsidRDefault="00C06266" w:rsidP="00C06266">
      <w:pPr>
        <w:rPr>
          <w:rFonts w:cs="Times New Roman"/>
        </w:rPr>
      </w:pPr>
      <w:r w:rsidRPr="00A967B1">
        <w:rPr>
          <w:rFonts w:cs="Times New Roman"/>
        </w:rPr>
        <w:t>Parallel corpora have proved of great value for translators, with Google translate, TAUS Data Association (</w:t>
      </w:r>
      <w:hyperlink r:id="rId9" w:history="1">
        <w:r w:rsidRPr="00A967B1">
          <w:rPr>
            <w:rStyle w:val="Hyperlink"/>
            <w:rFonts w:cs="Times New Roman"/>
          </w:rPr>
          <w:t>http://web2.tausdata.org:8801/</w:t>
        </w:r>
      </w:hyperlink>
      <w:r w:rsidRPr="00A967B1">
        <w:rPr>
          <w:rFonts w:cs="Times New Roman"/>
        </w:rPr>
        <w:t xml:space="preserve">) and </w:t>
      </w:r>
      <w:hyperlink r:id="rId10" w:history="1">
        <w:r w:rsidRPr="00A967B1">
          <w:rPr>
            <w:rStyle w:val="Hyperlink"/>
            <w:rFonts w:cs="Times New Roman"/>
          </w:rPr>
          <w:t>http://www.linguee.com</w:t>
        </w:r>
      </w:hyperlink>
      <w:r w:rsidRPr="00A967B1">
        <w:rPr>
          <w:rFonts w:cs="Times New Roman"/>
        </w:rPr>
        <w:t xml:space="preserve"> – all built on parallel corpora -- proving three of the most significant additions to the translator’s toolbox in recent years.  Our parallel </w:t>
      </w:r>
      <w:proofErr w:type="spellStart"/>
      <w:r w:rsidRPr="00A967B1">
        <w:rPr>
          <w:rFonts w:cs="Times New Roman"/>
        </w:rPr>
        <w:t>concordancing</w:t>
      </w:r>
      <w:proofErr w:type="spellEnd"/>
      <w:r w:rsidRPr="00A967B1">
        <w:rPr>
          <w:rFonts w:cs="Times New Roman"/>
        </w:rPr>
        <w:t xml:space="preserve"> is shown in Figures 1 and 2.  </w:t>
      </w:r>
    </w:p>
    <w:p w:rsidR="00C06266" w:rsidRPr="00282C16" w:rsidRDefault="00C06266" w:rsidP="00C06266">
      <w:pPr>
        <w:rPr>
          <w:rFonts w:ascii="Times New Roman" w:hAnsi="Times New Roman" w:cs="Times New Roman"/>
        </w:rPr>
      </w:pPr>
      <w:r w:rsidRPr="00C06266">
        <w:rPr>
          <w:rFonts w:ascii="Times New Roman" w:hAnsi="Times New Roman" w:cs="Times New Roman"/>
        </w:rPr>
        <w:drawing>
          <wp:inline distT="0" distB="0" distL="0" distR="0">
            <wp:extent cx="5731510" cy="4419821"/>
            <wp:effectExtent l="19050" t="0" r="2540" b="0"/>
            <wp:docPr id="2" name="Picture 20" descr="C:\Users\Adam\AppData\Local\Microsoft\Windows\Temporary Internet Files\Content.Word\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am\AppData\Local\Microsoft\Windows\Temporary Internet Files\Content.Word\Picture2.png"/>
                    <pic:cNvPicPr>
                      <a:picLocks noChangeAspect="1" noChangeArrowheads="1"/>
                    </pic:cNvPicPr>
                  </pic:nvPicPr>
                  <pic:blipFill>
                    <a:blip r:embed="rId11" cstate="print"/>
                    <a:srcRect/>
                    <a:stretch>
                      <a:fillRect/>
                    </a:stretch>
                  </pic:blipFill>
                  <pic:spPr bwMode="auto">
                    <a:xfrm>
                      <a:off x="0" y="0"/>
                      <a:ext cx="5731510" cy="4419821"/>
                    </a:xfrm>
                    <a:prstGeom prst="rect">
                      <a:avLst/>
                    </a:prstGeom>
                    <a:noFill/>
                    <a:ln w="9525">
                      <a:noFill/>
                      <a:miter lim="800000"/>
                      <a:headEnd/>
                      <a:tailEnd/>
                    </a:ln>
                  </pic:spPr>
                </pic:pic>
              </a:graphicData>
            </a:graphic>
          </wp:inline>
        </w:drawing>
      </w:r>
    </w:p>
    <w:p w:rsidR="0069097E" w:rsidRPr="00A23B89" w:rsidRDefault="00A23B89" w:rsidP="00A23B89">
      <w:pPr>
        <w:jc w:val="center"/>
        <w:rPr>
          <w:i/>
        </w:rPr>
      </w:pPr>
      <w:r>
        <w:t xml:space="preserve">Figure 1.  English-French parallel concordance for </w:t>
      </w:r>
      <w:r>
        <w:rPr>
          <w:i/>
        </w:rPr>
        <w:t>love/amour</w:t>
      </w:r>
    </w:p>
    <w:p w:rsidR="00A23B89" w:rsidRDefault="00C06266" w:rsidP="00FE5BA5">
      <w:r>
        <w:rPr>
          <w:noProof/>
          <w:lang w:eastAsia="en-GB"/>
        </w:rPr>
        <w:lastRenderedPageBreak/>
        <w:drawing>
          <wp:inline distT="0" distB="0" distL="0" distR="0">
            <wp:extent cx="5731510" cy="4179543"/>
            <wp:effectExtent l="19050" t="0" r="2540" b="0"/>
            <wp:docPr id="23" name="Picture 23" descr="C:\Users\Adam\Pictures\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am\Pictures\Picture3.png"/>
                    <pic:cNvPicPr>
                      <a:picLocks noChangeAspect="1" noChangeArrowheads="1"/>
                    </pic:cNvPicPr>
                  </pic:nvPicPr>
                  <pic:blipFill>
                    <a:blip r:embed="rId12" cstate="print"/>
                    <a:srcRect/>
                    <a:stretch>
                      <a:fillRect/>
                    </a:stretch>
                  </pic:blipFill>
                  <pic:spPr bwMode="auto">
                    <a:xfrm>
                      <a:off x="0" y="0"/>
                      <a:ext cx="5731510" cy="4179543"/>
                    </a:xfrm>
                    <a:prstGeom prst="rect">
                      <a:avLst/>
                    </a:prstGeom>
                    <a:noFill/>
                    <a:ln w="9525">
                      <a:noFill/>
                      <a:miter lim="800000"/>
                      <a:headEnd/>
                      <a:tailEnd/>
                    </a:ln>
                  </pic:spPr>
                </pic:pic>
              </a:graphicData>
            </a:graphic>
          </wp:inline>
        </w:drawing>
      </w:r>
    </w:p>
    <w:p w:rsidR="00A23B89" w:rsidRPr="00A23B89" w:rsidRDefault="00A23B89" w:rsidP="00A23B89">
      <w:pPr>
        <w:jc w:val="center"/>
        <w:rPr>
          <w:i/>
        </w:rPr>
      </w:pPr>
      <w:r>
        <w:t xml:space="preserve">Figure 2.  Greek-German parallel concordance </w:t>
      </w:r>
      <w:r w:rsidRPr="00A23B89">
        <w:t xml:space="preserve">for </w:t>
      </w:r>
      <w:proofErr w:type="spellStart"/>
      <w:r w:rsidRPr="006B63CC">
        <w:rPr>
          <w:i/>
          <w:shd w:val="clear" w:color="auto" w:fill="FFFFFF"/>
        </w:rPr>
        <w:t>αγάπη</w:t>
      </w:r>
      <w:proofErr w:type="spellEnd"/>
      <w:r>
        <w:rPr>
          <w:i/>
        </w:rPr>
        <w:t>/</w:t>
      </w:r>
      <w:proofErr w:type="spellStart"/>
      <w:r>
        <w:rPr>
          <w:i/>
        </w:rPr>
        <w:t>Liebe</w:t>
      </w:r>
      <w:proofErr w:type="spellEnd"/>
    </w:p>
    <w:p w:rsidR="0069097E" w:rsidRPr="006B63CC" w:rsidRDefault="0069097E" w:rsidP="00FE5BA5">
      <w:r>
        <w:t>This is</w:t>
      </w:r>
      <w:r w:rsidR="00766525">
        <w:t xml:space="preserve"> simil</w:t>
      </w:r>
      <w:r>
        <w:t xml:space="preserve">ar to </w:t>
      </w:r>
      <w:proofErr w:type="spellStart"/>
      <w:r>
        <w:t>Linguee</w:t>
      </w:r>
      <w:proofErr w:type="spellEnd"/>
      <w:r>
        <w:t xml:space="preserve">, </w:t>
      </w:r>
      <w:r w:rsidR="001B3D92">
        <w:t>with less data per language pair, but for</w:t>
      </w:r>
      <w:r>
        <w:t xml:space="preserve"> many</w:t>
      </w:r>
      <w:r w:rsidR="00D26585">
        <w:t xml:space="preserve"> more</w:t>
      </w:r>
      <w:r w:rsidR="00526F65">
        <w:t xml:space="preserve"> pairs: currently around 3</w:t>
      </w:r>
      <w:r>
        <w:t>00.</w:t>
      </w:r>
      <w:r w:rsidR="006B63CC">
        <w:t xml:space="preserve">    A</w:t>
      </w:r>
      <w:r w:rsidR="002C4480">
        <w:t>s the screenshot shows, the Sketch Engine offers many ways to further explore the concordances, including sorting, filtering, frequency reports and collocation reports.</w:t>
      </w:r>
      <w:r w:rsidR="006B63CC">
        <w:t xml:space="preserve">  Recent additions include querying in both languages simultaneously, so, </w:t>
      </w:r>
      <w:proofErr w:type="spellStart"/>
      <w:r w:rsidR="006B63CC">
        <w:t>eg</w:t>
      </w:r>
      <w:proofErr w:type="spellEnd"/>
      <w:r w:rsidR="006B63CC">
        <w:t xml:space="preserve">, the aligned segments in Figure 2 are only those with </w:t>
      </w:r>
      <w:r w:rsidR="006B63CC" w:rsidRPr="006B63CC">
        <w:t xml:space="preserve">both </w:t>
      </w:r>
      <w:proofErr w:type="spellStart"/>
      <w:r w:rsidR="006B63CC" w:rsidRPr="006B63CC">
        <w:rPr>
          <w:i/>
          <w:shd w:val="clear" w:color="auto" w:fill="FFFFFF"/>
        </w:rPr>
        <w:t>αγάπη</w:t>
      </w:r>
      <w:proofErr w:type="spellEnd"/>
      <w:r w:rsidR="006B63CC" w:rsidRPr="006B63CC">
        <w:t xml:space="preserve"> </w:t>
      </w:r>
      <w:r w:rsidR="006B63CC" w:rsidRPr="006B63CC">
        <w:rPr>
          <w:shd w:val="clear" w:color="auto" w:fill="FFFFFF"/>
        </w:rPr>
        <w:t xml:space="preserve">in the Greek and </w:t>
      </w:r>
      <w:proofErr w:type="spellStart"/>
      <w:r w:rsidR="006B63CC" w:rsidRPr="006B63CC">
        <w:rPr>
          <w:i/>
          <w:shd w:val="clear" w:color="auto" w:fill="FFFFFF"/>
        </w:rPr>
        <w:t>Liebe</w:t>
      </w:r>
      <w:proofErr w:type="spellEnd"/>
      <w:r w:rsidR="006B63CC" w:rsidRPr="006B63CC">
        <w:rPr>
          <w:shd w:val="clear" w:color="auto" w:fill="FFFFFF"/>
        </w:rPr>
        <w:t xml:space="preserve"> in the German</w:t>
      </w:r>
      <w:r w:rsidR="006B63CC">
        <w:rPr>
          <w:shd w:val="clear" w:color="auto" w:fill="FFFFFF"/>
        </w:rPr>
        <w:t>.</w:t>
      </w:r>
    </w:p>
    <w:p w:rsidR="002C4480" w:rsidRPr="002C4480" w:rsidRDefault="002C4480" w:rsidP="00FE5BA5">
      <w:pPr>
        <w:rPr>
          <w:b/>
        </w:rPr>
      </w:pPr>
      <w:r>
        <w:rPr>
          <w:b/>
        </w:rPr>
        <w:t>Bilingual word sketches</w:t>
      </w:r>
    </w:p>
    <w:p w:rsidR="006700FC" w:rsidRDefault="0069097E" w:rsidP="00FE5BA5">
      <w:r>
        <w:t>We have also developed the</w:t>
      </w:r>
      <w:r w:rsidR="001B3D92">
        <w:t xml:space="preserve"> ‘bilingual word sketch’, where we extend the widely used monolingual word sketches to include </w:t>
      </w:r>
      <w:r w:rsidR="00A23B89">
        <w:t xml:space="preserve">data for two languages.  In one version, </w:t>
      </w:r>
      <w:r w:rsidR="006700FC">
        <w:t>"</w:t>
      </w:r>
      <w:proofErr w:type="spellStart"/>
      <w:r w:rsidR="006700FC">
        <w:t>bi</w:t>
      </w:r>
      <w:r w:rsidR="006B63CC">
        <w:t>p</w:t>
      </w:r>
      <w:proofErr w:type="spellEnd"/>
      <w:r w:rsidR="006B63CC">
        <w:t xml:space="preserve">" or "bilingual-parallel" </w:t>
      </w:r>
      <w:r w:rsidR="006700FC">
        <w:t xml:space="preserve">sketches, </w:t>
      </w:r>
      <w:r w:rsidR="00A23B89">
        <w:t>we derive matched headwords and collocations from parallel corpora, as in Figure 3.</w:t>
      </w:r>
      <w:r w:rsidR="006700FC">
        <w:t xml:space="preserve">  Here we can see that the tool has automatically identified </w:t>
      </w:r>
      <w:r w:rsidR="006B63CC">
        <w:t xml:space="preserve">the </w:t>
      </w:r>
      <w:r w:rsidR="006700FC">
        <w:t>three English collocations (</w:t>
      </w:r>
      <w:r w:rsidR="006700FC">
        <w:rPr>
          <w:i/>
        </w:rPr>
        <w:t xml:space="preserve">written declaration, solemn declaration, unilateral declaration) </w:t>
      </w:r>
      <w:r w:rsidR="006700FC">
        <w:t xml:space="preserve"> and the corresponding French collocations (</w:t>
      </w:r>
      <w:proofErr w:type="spellStart"/>
      <w:r w:rsidR="006700FC">
        <w:rPr>
          <w:i/>
        </w:rPr>
        <w:t>déclaration</w:t>
      </w:r>
      <w:proofErr w:type="spellEnd"/>
      <w:r w:rsidR="006700FC">
        <w:rPr>
          <w:i/>
        </w:rPr>
        <w:t xml:space="preserve"> </w:t>
      </w:r>
      <w:proofErr w:type="spellStart"/>
      <w:r w:rsidR="006700FC">
        <w:rPr>
          <w:i/>
        </w:rPr>
        <w:t>écrite</w:t>
      </w:r>
      <w:proofErr w:type="spellEnd"/>
      <w:r w:rsidR="006700FC">
        <w:rPr>
          <w:i/>
        </w:rPr>
        <w:t>,</w:t>
      </w:r>
      <w:r w:rsidR="00A23B89">
        <w:t xml:space="preserve"> </w:t>
      </w:r>
      <w:proofErr w:type="spellStart"/>
      <w:r w:rsidR="006700FC">
        <w:rPr>
          <w:i/>
        </w:rPr>
        <w:t>déclaration</w:t>
      </w:r>
      <w:proofErr w:type="spellEnd"/>
      <w:r w:rsidR="006700FC">
        <w:rPr>
          <w:i/>
        </w:rPr>
        <w:t xml:space="preserve"> </w:t>
      </w:r>
      <w:proofErr w:type="spellStart"/>
      <w:r w:rsidR="006700FC">
        <w:rPr>
          <w:i/>
        </w:rPr>
        <w:t>solennel</w:t>
      </w:r>
      <w:proofErr w:type="spellEnd"/>
      <w:r w:rsidR="006700FC">
        <w:t xml:space="preserve"> </w:t>
      </w:r>
      <w:proofErr w:type="spellStart"/>
      <w:r w:rsidR="006700FC">
        <w:rPr>
          <w:i/>
        </w:rPr>
        <w:t>déclaration</w:t>
      </w:r>
      <w:proofErr w:type="spellEnd"/>
      <w:r w:rsidR="006700FC">
        <w:rPr>
          <w:i/>
        </w:rPr>
        <w:t xml:space="preserve"> </w:t>
      </w:r>
      <w:proofErr w:type="spellStart"/>
      <w:r w:rsidR="006700FC">
        <w:rPr>
          <w:i/>
        </w:rPr>
        <w:t>unilatérale</w:t>
      </w:r>
      <w:proofErr w:type="spellEnd"/>
      <w:r w:rsidR="006700FC">
        <w:rPr>
          <w:i/>
        </w:rPr>
        <w:t>)</w:t>
      </w:r>
      <w:r w:rsidR="004B2D7A">
        <w:rPr>
          <w:i/>
        </w:rPr>
        <w:t xml:space="preserve">, </w:t>
      </w:r>
      <w:r w:rsidR="004B2D7A" w:rsidRPr="004B2D7A">
        <w:t>also</w:t>
      </w:r>
      <w:r w:rsidR="006700FC">
        <w:t xml:space="preserve"> provided corpus </w:t>
      </w:r>
      <w:r w:rsidR="002C4480">
        <w:t>citations</w:t>
      </w:r>
      <w:r w:rsidR="006700FC">
        <w:t xml:space="preserve"> for each.</w:t>
      </w:r>
    </w:p>
    <w:p w:rsidR="004B2D7A" w:rsidRDefault="002C4480" w:rsidP="00FE5BA5">
      <w:r>
        <w:t>In "</w:t>
      </w:r>
      <w:proofErr w:type="spellStart"/>
      <w:r>
        <w:t>bim</w:t>
      </w:r>
      <w:proofErr w:type="spellEnd"/>
      <w:r>
        <w:t xml:space="preserve">" or "bilingual-manual' word sketches </w:t>
      </w:r>
      <w:r w:rsidR="004B2D7A">
        <w:t>the user specifies which translation-pair of</w:t>
      </w:r>
      <w:r>
        <w:t xml:space="preserve"> words</w:t>
      </w:r>
      <w:r w:rsidR="004B2D7A">
        <w:t xml:space="preserve"> </w:t>
      </w:r>
      <w:r>
        <w:t>they want to compare word sketches for, and they are then shown a</w:t>
      </w:r>
      <w:r w:rsidR="00A967B1" w:rsidRPr="00A967B1">
        <w:t xml:space="preserve"> </w:t>
      </w:r>
      <w:r w:rsidR="00A967B1">
        <w:t>word sketch with corresponding grammatical relations matched, as in Figure 4.  Here the user has</w:t>
      </w:r>
      <w:r w:rsidR="00677D6F" w:rsidRPr="00677D6F">
        <w:t xml:space="preserve"> </w:t>
      </w:r>
      <w:r w:rsidR="00677D6F">
        <w:t xml:space="preserve">specified that they want to see English </w:t>
      </w:r>
      <w:r w:rsidR="00677D6F">
        <w:rPr>
          <w:i/>
        </w:rPr>
        <w:t>house</w:t>
      </w:r>
      <w:r w:rsidR="00677D6F">
        <w:t xml:space="preserve"> and French </w:t>
      </w:r>
      <w:proofErr w:type="spellStart"/>
      <w:r w:rsidR="00677D6F">
        <w:rPr>
          <w:i/>
        </w:rPr>
        <w:t>maison</w:t>
      </w:r>
      <w:proofErr w:type="spellEnd"/>
      <w:r w:rsidR="00677D6F">
        <w:t xml:space="preserve"> side-by-side.  </w:t>
      </w:r>
    </w:p>
    <w:p w:rsidR="002C4480" w:rsidRDefault="004B2D7A" w:rsidP="00FE5BA5">
      <w:r>
        <w:t>We see</w:t>
      </w:r>
      <w:r w:rsidR="00677D6F">
        <w:t xml:space="preserve"> the pairs, under the '</w:t>
      </w:r>
      <w:proofErr w:type="spellStart"/>
      <w:r w:rsidR="00677D6F">
        <w:t>object_of</w:t>
      </w:r>
      <w:proofErr w:type="spellEnd"/>
      <w:r w:rsidR="00677D6F">
        <w:t>/</w:t>
      </w:r>
      <w:proofErr w:type="spellStart"/>
      <w:r w:rsidR="00677D6F">
        <w:t>objet_de</w:t>
      </w:r>
      <w:proofErr w:type="spellEnd"/>
      <w:r w:rsidR="00677D6F">
        <w:t xml:space="preserve">' columns, </w:t>
      </w:r>
      <w:r w:rsidR="00677D6F">
        <w:rPr>
          <w:i/>
        </w:rPr>
        <w:t>build/</w:t>
      </w:r>
      <w:proofErr w:type="spellStart"/>
      <w:r w:rsidR="00677D6F">
        <w:rPr>
          <w:i/>
        </w:rPr>
        <w:t>bâtir</w:t>
      </w:r>
      <w:proofErr w:type="spellEnd"/>
      <w:r w:rsidR="00677D6F">
        <w:rPr>
          <w:i/>
        </w:rPr>
        <w:t>, buy/</w:t>
      </w:r>
      <w:proofErr w:type="spellStart"/>
      <w:r w:rsidR="00677D6F">
        <w:rPr>
          <w:i/>
        </w:rPr>
        <w:t>acheter</w:t>
      </w:r>
      <w:proofErr w:type="spellEnd"/>
      <w:r w:rsidR="00677D6F">
        <w:rPr>
          <w:i/>
        </w:rPr>
        <w:t>, rent/</w:t>
      </w:r>
      <w:proofErr w:type="spellStart"/>
      <w:r w:rsidR="00677D6F">
        <w:rPr>
          <w:i/>
        </w:rPr>
        <w:t>louer</w:t>
      </w:r>
      <w:proofErr w:type="spellEnd"/>
      <w:r w:rsidR="00677D6F">
        <w:rPr>
          <w:i/>
        </w:rPr>
        <w:t>,</w:t>
      </w:r>
    </w:p>
    <w:p w:rsidR="00A967B1" w:rsidRDefault="00A23B89" w:rsidP="002C4480">
      <w:r w:rsidRPr="00A23B89">
        <w:lastRenderedPageBreak/>
        <w:drawing>
          <wp:inline distT="0" distB="0" distL="0" distR="0">
            <wp:extent cx="5731510" cy="3639718"/>
            <wp:effectExtent l="19050" t="0" r="2540" b="0"/>
            <wp:docPr id="3" name="Picture 17" descr="C:\Users\Adam\AppData\Local\Microsoft\Windows\Temporary Internet Files\Content.Word\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am\AppData\Local\Microsoft\Windows\Temporary Internet Files\Content.Word\Picture1.png"/>
                    <pic:cNvPicPr>
                      <a:picLocks noChangeAspect="1" noChangeArrowheads="1"/>
                    </pic:cNvPicPr>
                  </pic:nvPicPr>
                  <pic:blipFill>
                    <a:blip r:embed="rId13" cstate="print"/>
                    <a:srcRect/>
                    <a:stretch>
                      <a:fillRect/>
                    </a:stretch>
                  </pic:blipFill>
                  <pic:spPr bwMode="auto">
                    <a:xfrm>
                      <a:off x="0" y="0"/>
                      <a:ext cx="5731510" cy="3639718"/>
                    </a:xfrm>
                    <a:prstGeom prst="rect">
                      <a:avLst/>
                    </a:prstGeom>
                    <a:noFill/>
                    <a:ln w="9525">
                      <a:noFill/>
                      <a:miter lim="800000"/>
                      <a:headEnd/>
                      <a:tailEnd/>
                    </a:ln>
                  </pic:spPr>
                </pic:pic>
              </a:graphicData>
            </a:graphic>
          </wp:inline>
        </w:drawing>
      </w:r>
    </w:p>
    <w:p w:rsidR="00A967B1" w:rsidRPr="00A967B1" w:rsidRDefault="00A967B1" w:rsidP="00A967B1">
      <w:pPr>
        <w:jc w:val="center"/>
      </w:pPr>
      <w:r>
        <w:t xml:space="preserve">Figure 3: </w:t>
      </w:r>
      <w:proofErr w:type="spellStart"/>
      <w:r>
        <w:rPr>
          <w:i/>
        </w:rPr>
        <w:t>Bip</w:t>
      </w:r>
      <w:proofErr w:type="spellEnd"/>
      <w:r>
        <w:rPr>
          <w:i/>
        </w:rPr>
        <w:t xml:space="preserve"> </w:t>
      </w:r>
      <w:r>
        <w:t xml:space="preserve">word sketch for English </w:t>
      </w:r>
      <w:r>
        <w:rPr>
          <w:i/>
        </w:rPr>
        <w:t xml:space="preserve">declaration, </w:t>
      </w:r>
      <w:r>
        <w:t xml:space="preserve">with French </w:t>
      </w:r>
      <w:proofErr w:type="spellStart"/>
      <w:r>
        <w:rPr>
          <w:i/>
        </w:rPr>
        <w:t>déclaration</w:t>
      </w:r>
      <w:proofErr w:type="spellEnd"/>
    </w:p>
    <w:p w:rsidR="00241911" w:rsidRDefault="002C4480" w:rsidP="00FE5BA5">
      <w:r>
        <w:rPr>
          <w:i/>
        </w:rPr>
        <w:t xml:space="preserve">leave/quitter. </w:t>
      </w:r>
      <w:r>
        <w:t>This may well prove useful for language learners and translators.  For lexicograph</w:t>
      </w:r>
      <w:r w:rsidR="004B2D7A">
        <w:t>ers, it is perhaps what is missing</w:t>
      </w:r>
      <w:r>
        <w:t xml:space="preserve"> that is </w:t>
      </w:r>
      <w:r w:rsidR="00A967B1">
        <w:t>most</w:t>
      </w:r>
      <w:r>
        <w:t xml:space="preserve"> useful: which collocations for </w:t>
      </w:r>
      <w:r>
        <w:rPr>
          <w:i/>
        </w:rPr>
        <w:t>house</w:t>
      </w:r>
      <w:r>
        <w:t xml:space="preserve"> do </w:t>
      </w:r>
      <w:r w:rsidRPr="004B2D7A">
        <w:rPr>
          <w:b/>
        </w:rPr>
        <w:t>not</w:t>
      </w:r>
      <w:r>
        <w:t xml:space="preserve"> have a French equivalent with </w:t>
      </w:r>
      <w:proofErr w:type="spellStart"/>
      <w:r>
        <w:rPr>
          <w:i/>
        </w:rPr>
        <w:t>maison</w:t>
      </w:r>
      <w:proofErr w:type="spellEnd"/>
      <w:r>
        <w:rPr>
          <w:i/>
        </w:rPr>
        <w:t xml:space="preserve">? </w:t>
      </w:r>
      <w:r>
        <w:t>These are the items needing explicit mention in a bilingual dictionary.  We are currently adding to the functionality to support that question.</w:t>
      </w:r>
    </w:p>
    <w:p w:rsidR="00A967B1" w:rsidRDefault="00241911" w:rsidP="00FE5BA5">
      <w:r>
        <w:rPr>
          <w:noProof/>
          <w:lang w:eastAsia="en-GB"/>
        </w:rPr>
        <w:drawing>
          <wp:inline distT="0" distB="0" distL="0" distR="0">
            <wp:extent cx="5726695" cy="3295650"/>
            <wp:effectExtent l="19050" t="0" r="7355" b="0"/>
            <wp:docPr id="16" name="Picture 16" descr="C:\Users\Adam\Pictures\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am\Pictures\temp.png"/>
                    <pic:cNvPicPr>
                      <a:picLocks noChangeAspect="1" noChangeArrowheads="1"/>
                    </pic:cNvPicPr>
                  </pic:nvPicPr>
                  <pic:blipFill>
                    <a:blip r:embed="rId14" cstate="print"/>
                    <a:srcRect/>
                    <a:stretch>
                      <a:fillRect/>
                    </a:stretch>
                  </pic:blipFill>
                  <pic:spPr bwMode="auto">
                    <a:xfrm>
                      <a:off x="0" y="0"/>
                      <a:ext cx="5731510" cy="3298421"/>
                    </a:xfrm>
                    <a:prstGeom prst="rect">
                      <a:avLst/>
                    </a:prstGeom>
                    <a:noFill/>
                    <a:ln w="9525">
                      <a:noFill/>
                      <a:miter lim="800000"/>
                      <a:headEnd/>
                      <a:tailEnd/>
                    </a:ln>
                  </pic:spPr>
                </pic:pic>
              </a:graphicData>
            </a:graphic>
          </wp:inline>
        </w:drawing>
      </w:r>
    </w:p>
    <w:p w:rsidR="002C4480" w:rsidRDefault="00A967B1" w:rsidP="00A967B1">
      <w:pPr>
        <w:jc w:val="center"/>
      </w:pPr>
      <w:r>
        <w:t xml:space="preserve">Figure 4: </w:t>
      </w:r>
      <w:proofErr w:type="spellStart"/>
      <w:r>
        <w:rPr>
          <w:i/>
        </w:rPr>
        <w:t>Bim</w:t>
      </w:r>
      <w:proofErr w:type="spellEnd"/>
      <w:r>
        <w:rPr>
          <w:i/>
        </w:rPr>
        <w:t xml:space="preserve"> </w:t>
      </w:r>
      <w:r>
        <w:t xml:space="preserve">word sketch for English </w:t>
      </w:r>
      <w:r>
        <w:rPr>
          <w:i/>
        </w:rPr>
        <w:t xml:space="preserve">house, </w:t>
      </w:r>
      <w:r>
        <w:t xml:space="preserve">with French </w:t>
      </w:r>
      <w:proofErr w:type="spellStart"/>
      <w:r>
        <w:t>mais</w:t>
      </w:r>
      <w:r>
        <w:rPr>
          <w:i/>
        </w:rPr>
        <w:t>on</w:t>
      </w:r>
      <w:proofErr w:type="spellEnd"/>
    </w:p>
    <w:p w:rsidR="001B3D92" w:rsidRDefault="00DA4D7C" w:rsidP="00FE5BA5">
      <w:r>
        <w:lastRenderedPageBreak/>
        <w:t xml:space="preserve">Over the last decade, word sketches have become </w:t>
      </w:r>
      <w:r w:rsidR="00981C30">
        <w:t>a key resource for dictionary-</w:t>
      </w:r>
      <w:r w:rsidR="0021339B">
        <w:t xml:space="preserve">making: </w:t>
      </w:r>
    </w:p>
    <w:p w:rsidR="0021339B" w:rsidRDefault="0021339B" w:rsidP="0021339B">
      <w:pPr>
        <w:ind w:left="720"/>
      </w:pPr>
      <w:r>
        <w:t xml:space="preserve">Editors have found that Word Sketches provide a compact and revealing snapshot of a word’s behaviour and uses. For many lexicographers with access to this kind of software, the lexical profile ha become the preferred starting point to their analyses of complex headwords. (Atkins and </w:t>
      </w:r>
      <w:proofErr w:type="spellStart"/>
      <w:r>
        <w:t>Rundell</w:t>
      </w:r>
      <w:proofErr w:type="spellEnd"/>
      <w:r>
        <w:t xml:space="preserve"> 2008, pp 110-111.)</w:t>
      </w:r>
    </w:p>
    <w:p w:rsidR="0021339B" w:rsidRDefault="00A23B89" w:rsidP="0021339B">
      <w:r>
        <w:t>Perhaps</w:t>
      </w:r>
      <w:r w:rsidR="0021339B">
        <w:t xml:space="preserve"> bilingual word sketches will have a similar impact on translation over the next ten years.</w:t>
      </w:r>
    </w:p>
    <w:p w:rsidR="00A967B1" w:rsidRPr="00A967B1" w:rsidRDefault="00A967B1" w:rsidP="0021339B">
      <w:pPr>
        <w:rPr>
          <w:b/>
        </w:rPr>
      </w:pPr>
      <w:r>
        <w:rPr>
          <w:b/>
        </w:rPr>
        <w:t>Term finding</w:t>
      </w:r>
    </w:p>
    <w:p w:rsidR="00047FFA" w:rsidRDefault="00D26585" w:rsidP="00FE5BA5">
      <w:r>
        <w:t>The term-finder</w:t>
      </w:r>
      <w:r w:rsidR="00047FFA">
        <w:t xml:space="preserve"> starts from a domain corpus, and a reference corpus.  First it finds all the noun phrases, and their frequencies, on both corpora.  It then takes the ratio, and the items with highest ratios will be terms, as in Figures 5</w:t>
      </w:r>
      <w:r w:rsidR="004B2D7A">
        <w:t xml:space="preserve"> and 6 (</w:t>
      </w:r>
      <w:r w:rsidR="00047FFA">
        <w:t>where the data was supplied by the first users of this technology, the World Intellectual Property Organisation</w:t>
      </w:r>
      <w:r w:rsidR="004B2D7A">
        <w:t>)</w:t>
      </w:r>
      <w:r w:rsidR="00047FFA">
        <w:t>.</w:t>
      </w:r>
    </w:p>
    <w:p w:rsidR="00047FFA" w:rsidRDefault="004B2D7A" w:rsidP="00FE5BA5">
      <w:r w:rsidRPr="00047FFA">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90.25pt" o:ole="">
            <v:imagedata r:id="rId15" o:title=""/>
          </v:shape>
          <o:OLEObject Type="Embed" ProgID="PowerPoint.Slide.12" ShapeID="_x0000_i1025" DrawAspect="Content" ObjectID="_1445957892" r:id="rId16"/>
        </w:object>
      </w:r>
    </w:p>
    <w:p w:rsidR="00047FFA" w:rsidRDefault="00677D6F" w:rsidP="00677D6F">
      <w:pPr>
        <w:jc w:val="center"/>
      </w:pPr>
      <w:r>
        <w:t>Figure 5.  French terms in the mobile communications domain.</w:t>
      </w:r>
    </w:p>
    <w:p w:rsidR="00677D6F" w:rsidRDefault="00677D6F" w:rsidP="00FE5BA5">
      <w:r w:rsidRPr="00677D6F">
        <w:lastRenderedPageBreak/>
        <w:drawing>
          <wp:inline distT="0" distB="0" distL="0" distR="0">
            <wp:extent cx="5729081" cy="2947916"/>
            <wp:effectExtent l="19050" t="0" r="4969" b="0"/>
            <wp:docPr id="6" name="Picture 5" descr="terms_japanese (1).png"/>
            <wp:cNvGraphicFramePr/>
            <a:graphic xmlns:a="http://schemas.openxmlformats.org/drawingml/2006/main">
              <a:graphicData uri="http://schemas.openxmlformats.org/drawingml/2006/picture">
                <pic:pic xmlns:pic="http://schemas.openxmlformats.org/drawingml/2006/picture">
                  <pic:nvPicPr>
                    <pic:cNvPr id="3" name="Picture 2" descr="terms_japanese (1).png"/>
                    <pic:cNvPicPr>
                      <a:picLocks noChangeAspect="1"/>
                    </pic:cNvPicPr>
                  </pic:nvPicPr>
                  <pic:blipFill>
                    <a:blip r:embed="rId17"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tretch>
                      <a:fillRect/>
                    </a:stretch>
                  </pic:blipFill>
                  <pic:spPr>
                    <a:xfrm>
                      <a:off x="0" y="0"/>
                      <a:ext cx="5731510" cy="2949166"/>
                    </a:xfrm>
                    <a:prstGeom prst="rect">
                      <a:avLst/>
                    </a:prstGeom>
                  </pic:spPr>
                </pic:pic>
              </a:graphicData>
            </a:graphic>
          </wp:inline>
        </w:drawing>
      </w:r>
    </w:p>
    <w:p w:rsidR="00677D6F" w:rsidRDefault="00677D6F" w:rsidP="00677D6F">
      <w:pPr>
        <w:jc w:val="center"/>
      </w:pPr>
      <w:r>
        <w:t>Figure 6.  Japanese terms in the mobile communications domain.</w:t>
      </w:r>
    </w:p>
    <w:p w:rsidR="00677D6F" w:rsidRDefault="00677D6F" w:rsidP="00FE5BA5">
      <w:r>
        <w:t>In some cases, as with WIPO, the user will have domain corpora, but in others they will not.  In that case they may use</w:t>
      </w:r>
      <w:r w:rsidR="00D26585">
        <w:t xml:space="preserve"> the BootCaT</w:t>
      </w:r>
      <w:r>
        <w:t xml:space="preserve"> procedure </w:t>
      </w:r>
      <w:r w:rsidR="00A967B1">
        <w:t>(</w:t>
      </w:r>
      <w:proofErr w:type="spellStart"/>
      <w:r w:rsidR="00A967B1">
        <w:t>Baroni</w:t>
      </w:r>
      <w:proofErr w:type="spellEnd"/>
      <w:r w:rsidR="00A967B1">
        <w:t xml:space="preserve"> and </w:t>
      </w:r>
      <w:proofErr w:type="spellStart"/>
      <w:r w:rsidR="00A967B1">
        <w:t>Bernardini</w:t>
      </w:r>
      <w:proofErr w:type="spellEnd"/>
      <w:r w:rsidR="00A967B1">
        <w:t xml:space="preserve"> 2004)</w:t>
      </w:r>
      <w:r w:rsidR="00D26585">
        <w:t xml:space="preserve">.  The user, typically a translator working </w:t>
      </w:r>
      <w:r w:rsidR="00915856">
        <w:t>in a do</w:t>
      </w:r>
      <w:r w:rsidR="00D26585">
        <w:t>main where they are not an expert, inputs a few domain-specific ‘seed words’; these are sent to a search engine, and the hits identified by the search engine</w:t>
      </w:r>
      <w:r w:rsidR="00DA4D7C">
        <w:t xml:space="preserve"> are gathered, cleaned, de</w:t>
      </w:r>
      <w:r w:rsidR="00915856">
        <w:t>-duplicated and processed to give a domain-specific corpus.  This functionality has been found to support t</w:t>
      </w:r>
      <w:r w:rsidR="00DA4D7C">
        <w:t>ranslators well (</w:t>
      </w:r>
      <w:proofErr w:type="spellStart"/>
      <w:r w:rsidR="00DA4D7C">
        <w:t>Bernardini</w:t>
      </w:r>
      <w:proofErr w:type="spellEnd"/>
      <w:r w:rsidR="00DA4D7C">
        <w:t xml:space="preserve">  </w:t>
      </w:r>
      <w:r w:rsidR="0065603E">
        <w:t>et al 2013</w:t>
      </w:r>
      <w:r w:rsidR="00915856">
        <w:t xml:space="preserve">).  For some time, </w:t>
      </w:r>
      <w:r w:rsidR="00A967B1">
        <w:t>the Sketch Engine has incorporated a BootCaT tool</w:t>
      </w:r>
      <w:r w:rsidR="00DA4D7C">
        <w:t>,</w:t>
      </w:r>
      <w:r w:rsidR="00915856">
        <w:t xml:space="preserve"> a</w:t>
      </w:r>
      <w:r w:rsidR="0069097E">
        <w:t>llowing users</w:t>
      </w:r>
      <w:r w:rsidR="00915856">
        <w:t xml:space="preserve"> to</w:t>
      </w:r>
      <w:r w:rsidR="00A967B1">
        <w:t xml:space="preserve"> create an instant corpus for a domain, which means they can then compare this corpus with a reference corpus to</w:t>
      </w:r>
      <w:r w:rsidR="00915856">
        <w:t xml:space="preserve"> find the keywords of the domain.  Th</w:t>
      </w:r>
      <w:r w:rsidR="00DA4D7C">
        <w:t>e functionality has recently be</w:t>
      </w:r>
      <w:r w:rsidR="00915856">
        <w:t>en extende</w:t>
      </w:r>
      <w:r w:rsidR="004B2D7A">
        <w:t xml:space="preserve">d so the user can find </w:t>
      </w:r>
      <w:r w:rsidR="00915856">
        <w:t xml:space="preserve">the </w:t>
      </w:r>
      <w:r w:rsidR="004B2D7A">
        <w:t xml:space="preserve">terms alongside </w:t>
      </w:r>
      <w:r w:rsidR="00915856">
        <w:t>key words</w:t>
      </w:r>
      <w:r w:rsidR="004B2D7A">
        <w:t xml:space="preserve">.  </w:t>
      </w:r>
      <w:r>
        <w:t>Thus, where the us</w:t>
      </w:r>
      <w:r w:rsidR="006B63CC">
        <w:t>er has Bootcat</w:t>
      </w:r>
      <w:r>
        <w:t>ted an English environment corpus, the Sketch Engine provides the "key words and terms" report shown in Figure 7.</w:t>
      </w:r>
    </w:p>
    <w:p w:rsidR="00546FB7" w:rsidRDefault="00546FB7" w:rsidP="00546FB7">
      <w:r>
        <w:t>The requirements for the term-finding functionality are:</w:t>
      </w:r>
    </w:p>
    <w:p w:rsidR="00546FB7" w:rsidRDefault="00546FB7" w:rsidP="00546FB7">
      <w:pPr>
        <w:pStyle w:val="ListParagraph"/>
        <w:numPr>
          <w:ilvl w:val="0"/>
          <w:numId w:val="3"/>
        </w:numPr>
      </w:pPr>
      <w:r>
        <w:t>a processing chain, comprising tokeniser, lemmatiser and part-of-speech tagger, installed and ready to apply to the user's domain corpus</w:t>
      </w:r>
    </w:p>
    <w:p w:rsidR="00546FB7" w:rsidRDefault="00546FB7" w:rsidP="00546FB7">
      <w:pPr>
        <w:pStyle w:val="ListParagraph"/>
        <w:numPr>
          <w:ilvl w:val="0"/>
          <w:numId w:val="3"/>
        </w:numPr>
      </w:pPr>
      <w:r>
        <w:t>a reference corpus processed with the processing chain</w:t>
      </w:r>
    </w:p>
    <w:p w:rsidR="00546FB7" w:rsidRDefault="00546FB7" w:rsidP="00546FB7">
      <w:pPr>
        <w:pStyle w:val="ListParagraph"/>
        <w:numPr>
          <w:ilvl w:val="0"/>
          <w:numId w:val="3"/>
        </w:numPr>
      </w:pPr>
      <w:r>
        <w:t>a term grammar.</w:t>
      </w:r>
    </w:p>
    <w:p w:rsidR="00546FB7" w:rsidRDefault="00546FB7" w:rsidP="00546FB7">
      <w:r>
        <w:t>At time of writing, these are all in place for Chinese, English, French, German, Japanese, Korean, Russian, Spanish and Portuguese.  More languages will be added over the coming year.</w:t>
      </w:r>
    </w:p>
    <w:p w:rsidR="00546FB7" w:rsidRDefault="00546FB7" w:rsidP="00546FB7"/>
    <w:p w:rsidR="00546FB7" w:rsidRDefault="00546FB7" w:rsidP="00FE5BA5"/>
    <w:p w:rsidR="00677D6F" w:rsidRDefault="00546FB7" w:rsidP="00FE5BA5">
      <w:r w:rsidRPr="00546FB7">
        <w:lastRenderedPageBreak/>
        <w:drawing>
          <wp:inline distT="0" distB="0" distL="0" distR="0">
            <wp:extent cx="5731510" cy="4308430"/>
            <wp:effectExtent l="19050" t="0" r="2540" b="0"/>
            <wp:docPr id="8" name="Picture 8" descr="terms_en.jpeg"/>
            <wp:cNvGraphicFramePr/>
            <a:graphic xmlns:a="http://schemas.openxmlformats.org/drawingml/2006/main">
              <a:graphicData uri="http://schemas.openxmlformats.org/drawingml/2006/picture">
                <pic:pic xmlns:pic="http://schemas.openxmlformats.org/drawingml/2006/picture">
                  <pic:nvPicPr>
                    <pic:cNvPr id="5" name="Picture 4" descr="terms_en.jpeg"/>
                    <pic:cNvPicPr>
                      <a:picLocks noChangeAspect="1"/>
                    </pic:cNvPicPr>
                  </pic:nvPicPr>
                  <pic:blipFill>
                    <a:blip r:embed="rId18"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tretch>
                      <a:fillRect/>
                    </a:stretch>
                  </pic:blipFill>
                  <pic:spPr>
                    <a:xfrm>
                      <a:off x="0" y="0"/>
                      <a:ext cx="5731510" cy="4308430"/>
                    </a:xfrm>
                    <a:prstGeom prst="rect">
                      <a:avLst/>
                    </a:prstGeom>
                  </pic:spPr>
                </pic:pic>
              </a:graphicData>
            </a:graphic>
          </wp:inline>
        </w:drawing>
      </w:r>
    </w:p>
    <w:p w:rsidR="00A967B1" w:rsidRDefault="00546FB7" w:rsidP="00546FB7">
      <w:pPr>
        <w:jc w:val="center"/>
      </w:pPr>
      <w:r>
        <w:t xml:space="preserve">Figure 7.  English key words and terms in the environment domain. The </w:t>
      </w:r>
      <w:proofErr w:type="spellStart"/>
      <w:r>
        <w:t>tickboxes</w:t>
      </w:r>
      <w:proofErr w:type="spellEnd"/>
      <w:r>
        <w:t xml:space="preserve"> are so the user can easily specify a new set of seed words and terms so they can refine the domain corpus by iterating the BootCaT procedure so they get more on-domain, and less off-domain text.</w:t>
      </w:r>
    </w:p>
    <w:p w:rsidR="00546FB7" w:rsidRPr="006B63CC" w:rsidRDefault="00546FB7" w:rsidP="00FE5BA5">
      <w:pPr>
        <w:rPr>
          <w:b/>
        </w:rPr>
      </w:pPr>
      <w:r w:rsidRPr="006B63CC">
        <w:rPr>
          <w:b/>
        </w:rPr>
        <w:t>In sum</w:t>
      </w:r>
    </w:p>
    <w:p w:rsidR="00546FB7" w:rsidRPr="006B63CC" w:rsidRDefault="00546FB7" w:rsidP="00FE5BA5">
      <w:r w:rsidRPr="006B63CC">
        <w:t>The Sketch Engine has for some years been a leading tool for lexicography and corpus linguistics.  Over that period, it has built up corpus resourc</w:t>
      </w:r>
      <w:r w:rsidR="006B63CC" w:rsidRPr="006B63CC">
        <w:t xml:space="preserve">es and functionality which are relevant for translators and terminologists, but not specialised for them.  In the last year, translators and terminologists have been the target of our development efforts, and we now have a number of tools designed specifically for them: many parallel corpora covering many language pairs;  improved parallel </w:t>
      </w:r>
      <w:proofErr w:type="spellStart"/>
      <w:r w:rsidR="006B63CC" w:rsidRPr="006B63CC">
        <w:t>concordancing</w:t>
      </w:r>
      <w:proofErr w:type="spellEnd"/>
      <w:r w:rsidR="006B63CC" w:rsidRPr="006B63CC">
        <w:t>; bilingual word sketches; and term finding.  We hope you will find them interesting.</w:t>
      </w:r>
    </w:p>
    <w:p w:rsidR="008F0F90" w:rsidRPr="006B63CC" w:rsidRDefault="008F0F90" w:rsidP="00FE5BA5">
      <w:r w:rsidRPr="006B63CC">
        <w:rPr>
          <w:b/>
        </w:rPr>
        <w:t>References</w:t>
      </w:r>
    </w:p>
    <w:p w:rsidR="00915856" w:rsidRDefault="0021339B" w:rsidP="00FE5BA5">
      <w:pPr>
        <w:rPr>
          <w:sz w:val="20"/>
          <w:szCs w:val="20"/>
        </w:rPr>
      </w:pPr>
      <w:r w:rsidRPr="008F0F90">
        <w:rPr>
          <w:sz w:val="20"/>
          <w:szCs w:val="20"/>
        </w:rPr>
        <w:t xml:space="preserve">B. T. S. Atkins and M. </w:t>
      </w:r>
      <w:proofErr w:type="spellStart"/>
      <w:r w:rsidRPr="008F0F90">
        <w:rPr>
          <w:sz w:val="20"/>
          <w:szCs w:val="20"/>
        </w:rPr>
        <w:t>Rundell</w:t>
      </w:r>
      <w:proofErr w:type="spellEnd"/>
      <w:r w:rsidRPr="008F0F90">
        <w:rPr>
          <w:sz w:val="20"/>
          <w:szCs w:val="20"/>
        </w:rPr>
        <w:t xml:space="preserve"> 2008.  The Oxford Guide to Practical Lexicography.  Oxford Unive</w:t>
      </w:r>
      <w:r w:rsidR="008F0F90" w:rsidRPr="008F0F90">
        <w:rPr>
          <w:sz w:val="20"/>
          <w:szCs w:val="20"/>
        </w:rPr>
        <w:t>rsit</w:t>
      </w:r>
      <w:r w:rsidRPr="008F0F90">
        <w:rPr>
          <w:sz w:val="20"/>
          <w:szCs w:val="20"/>
        </w:rPr>
        <w:t>y Press.</w:t>
      </w:r>
    </w:p>
    <w:p w:rsidR="004B2D7A" w:rsidRPr="004B2D7A" w:rsidRDefault="004B2D7A" w:rsidP="00FE5BA5">
      <w:pPr>
        <w:rPr>
          <w:sz w:val="20"/>
          <w:szCs w:val="20"/>
        </w:rPr>
      </w:pPr>
      <w:r w:rsidRPr="004B2D7A">
        <w:rPr>
          <w:color w:val="000000"/>
          <w:sz w:val="20"/>
          <w:szCs w:val="20"/>
          <w:shd w:val="clear" w:color="auto" w:fill="FFFFFF"/>
        </w:rPr>
        <w:t xml:space="preserve">M. </w:t>
      </w:r>
      <w:proofErr w:type="spellStart"/>
      <w:r w:rsidRPr="004B2D7A">
        <w:rPr>
          <w:color w:val="000000"/>
          <w:sz w:val="20"/>
          <w:szCs w:val="20"/>
          <w:shd w:val="clear" w:color="auto" w:fill="FFFFFF"/>
        </w:rPr>
        <w:t>Baroni</w:t>
      </w:r>
      <w:proofErr w:type="spellEnd"/>
      <w:r w:rsidRPr="004B2D7A">
        <w:rPr>
          <w:color w:val="000000"/>
          <w:sz w:val="20"/>
          <w:szCs w:val="20"/>
          <w:shd w:val="clear" w:color="auto" w:fill="FFFFFF"/>
        </w:rPr>
        <w:t xml:space="preserve"> and S. </w:t>
      </w:r>
      <w:proofErr w:type="spellStart"/>
      <w:r w:rsidRPr="004B2D7A">
        <w:rPr>
          <w:color w:val="000000"/>
          <w:sz w:val="20"/>
          <w:szCs w:val="20"/>
          <w:shd w:val="clear" w:color="auto" w:fill="FFFFFF"/>
        </w:rPr>
        <w:t>Bernardini</w:t>
      </w:r>
      <w:proofErr w:type="spellEnd"/>
      <w:r w:rsidRPr="004B2D7A">
        <w:rPr>
          <w:color w:val="000000"/>
          <w:sz w:val="20"/>
          <w:szCs w:val="20"/>
          <w:shd w:val="clear" w:color="auto" w:fill="FFFFFF"/>
        </w:rPr>
        <w:t>. 2004.</w:t>
      </w:r>
      <w:r w:rsidRPr="004B2D7A">
        <w:rPr>
          <w:rStyle w:val="apple-converted-space"/>
          <w:color w:val="000000"/>
          <w:sz w:val="20"/>
          <w:szCs w:val="20"/>
          <w:shd w:val="clear" w:color="auto" w:fill="FFFFFF"/>
        </w:rPr>
        <w:t> </w:t>
      </w:r>
      <w:hyperlink r:id="rId19" w:history="1">
        <w:r w:rsidRPr="004B2D7A">
          <w:rPr>
            <w:rStyle w:val="Hyperlink"/>
            <w:sz w:val="20"/>
            <w:szCs w:val="20"/>
            <w:shd w:val="clear" w:color="auto" w:fill="FFFFFF"/>
          </w:rPr>
          <w:t>BootCaT: Bootstrapping corpora and terms from the web</w:t>
        </w:r>
      </w:hyperlink>
      <w:r w:rsidRPr="004B2D7A">
        <w:rPr>
          <w:color w:val="000000"/>
          <w:sz w:val="20"/>
          <w:szCs w:val="20"/>
          <w:shd w:val="clear" w:color="auto" w:fill="FFFFFF"/>
        </w:rPr>
        <w:t>. Proceedings of LREC 2004, Lisbon: ELDA. 1313-1316.</w:t>
      </w:r>
    </w:p>
    <w:p w:rsidR="001C5963" w:rsidRPr="009A22BE" w:rsidRDefault="00915856" w:rsidP="009A22BE">
      <w:pPr>
        <w:autoSpaceDE w:val="0"/>
        <w:autoSpaceDN w:val="0"/>
        <w:adjustRightInd w:val="0"/>
        <w:spacing w:after="0" w:line="240" w:lineRule="auto"/>
        <w:rPr>
          <w:rFonts w:cs="CMR9"/>
          <w:sz w:val="20"/>
          <w:szCs w:val="20"/>
        </w:rPr>
      </w:pPr>
      <w:r w:rsidRPr="008F0F90">
        <w:rPr>
          <w:rFonts w:cs="CMR9"/>
          <w:sz w:val="20"/>
          <w:szCs w:val="20"/>
        </w:rPr>
        <w:t xml:space="preserve">S. Bernardini, A. </w:t>
      </w:r>
      <w:proofErr w:type="spellStart"/>
      <w:r w:rsidRPr="008F0F90">
        <w:rPr>
          <w:rFonts w:cs="CMR9"/>
          <w:sz w:val="20"/>
          <w:szCs w:val="20"/>
        </w:rPr>
        <w:t>Ferrare</w:t>
      </w:r>
      <w:r w:rsidR="004B2D7A">
        <w:rPr>
          <w:rFonts w:cs="CMR9"/>
          <w:sz w:val="20"/>
          <w:szCs w:val="20"/>
        </w:rPr>
        <w:t>si</w:t>
      </w:r>
      <w:proofErr w:type="spellEnd"/>
      <w:r w:rsidR="004B2D7A">
        <w:rPr>
          <w:rFonts w:cs="CMR9"/>
          <w:sz w:val="20"/>
          <w:szCs w:val="20"/>
        </w:rPr>
        <w:t xml:space="preserve"> </w:t>
      </w:r>
      <w:r w:rsidR="0065603E">
        <w:rPr>
          <w:rFonts w:cs="CMR9"/>
          <w:sz w:val="20"/>
          <w:szCs w:val="20"/>
        </w:rPr>
        <w:t xml:space="preserve">and E. </w:t>
      </w:r>
      <w:proofErr w:type="spellStart"/>
      <w:r w:rsidR="0065603E">
        <w:rPr>
          <w:rFonts w:cs="CMR9"/>
          <w:sz w:val="20"/>
          <w:szCs w:val="20"/>
        </w:rPr>
        <w:t>Zanchetta</w:t>
      </w:r>
      <w:proofErr w:type="spellEnd"/>
      <w:r w:rsidR="0065603E">
        <w:rPr>
          <w:rFonts w:cs="CMR9"/>
          <w:sz w:val="20"/>
          <w:szCs w:val="20"/>
        </w:rPr>
        <w:t>. 2013</w:t>
      </w:r>
      <w:r w:rsidRPr="008F0F90">
        <w:rPr>
          <w:rFonts w:cs="CMR9"/>
          <w:sz w:val="20"/>
          <w:szCs w:val="20"/>
        </w:rPr>
        <w:t>. Old needs, new solutions: comparable corpora for</w:t>
      </w:r>
      <w:r w:rsidR="009A22BE">
        <w:rPr>
          <w:rFonts w:cs="CMR9"/>
          <w:sz w:val="20"/>
          <w:szCs w:val="20"/>
        </w:rPr>
        <w:t xml:space="preserve"> </w:t>
      </w:r>
      <w:r w:rsidRPr="008F0F90">
        <w:rPr>
          <w:rFonts w:cs="CMR9"/>
          <w:sz w:val="20"/>
          <w:szCs w:val="20"/>
        </w:rPr>
        <w:t xml:space="preserve">language professionals. In </w:t>
      </w:r>
      <w:proofErr w:type="spellStart"/>
      <w:r w:rsidRPr="008F0F90">
        <w:rPr>
          <w:rFonts w:cs="CMR9"/>
          <w:sz w:val="20"/>
          <w:szCs w:val="20"/>
        </w:rPr>
        <w:t>Sharoff</w:t>
      </w:r>
      <w:proofErr w:type="spellEnd"/>
      <w:r w:rsidRPr="008F0F90">
        <w:rPr>
          <w:rFonts w:cs="CMR9"/>
          <w:sz w:val="20"/>
          <w:szCs w:val="20"/>
        </w:rPr>
        <w:t>, S</w:t>
      </w:r>
      <w:r w:rsidR="009A22BE">
        <w:rPr>
          <w:rFonts w:cs="CMR9"/>
          <w:sz w:val="20"/>
          <w:szCs w:val="20"/>
        </w:rPr>
        <w:t xml:space="preserve">., R. Rapp, P. </w:t>
      </w:r>
      <w:proofErr w:type="spellStart"/>
      <w:r w:rsidR="009A22BE">
        <w:rPr>
          <w:rFonts w:cs="CMR9"/>
          <w:sz w:val="20"/>
          <w:szCs w:val="20"/>
        </w:rPr>
        <w:t>Zweigenbaum</w:t>
      </w:r>
      <w:proofErr w:type="spellEnd"/>
      <w:r w:rsidR="009A22BE">
        <w:rPr>
          <w:rFonts w:cs="CMR9"/>
          <w:sz w:val="20"/>
          <w:szCs w:val="20"/>
        </w:rPr>
        <w:t>,</w:t>
      </w:r>
      <w:r w:rsidR="0065603E">
        <w:rPr>
          <w:rFonts w:cs="CMR9"/>
          <w:sz w:val="20"/>
          <w:szCs w:val="20"/>
        </w:rPr>
        <w:t xml:space="preserve"> P. Fung,</w:t>
      </w:r>
      <w:r w:rsidR="009A22BE">
        <w:rPr>
          <w:rFonts w:cs="CMR9"/>
          <w:sz w:val="20"/>
          <w:szCs w:val="20"/>
        </w:rPr>
        <w:t xml:space="preserve"> edi</w:t>
      </w:r>
      <w:r w:rsidRPr="008F0F90">
        <w:rPr>
          <w:rFonts w:cs="CMR9"/>
          <w:sz w:val="20"/>
          <w:szCs w:val="20"/>
        </w:rPr>
        <w:t xml:space="preserve">tors. </w:t>
      </w:r>
      <w:r w:rsidR="00EE745C" w:rsidRPr="008F0F90">
        <w:rPr>
          <w:rFonts w:cs="CMTI9"/>
          <w:sz w:val="20"/>
          <w:szCs w:val="20"/>
        </w:rPr>
        <w:t>Building and Us</w:t>
      </w:r>
      <w:r w:rsidRPr="008F0F90">
        <w:rPr>
          <w:rFonts w:cs="CMTI9"/>
          <w:sz w:val="20"/>
          <w:szCs w:val="20"/>
        </w:rPr>
        <w:t xml:space="preserve">ing Comparable Corpora. </w:t>
      </w:r>
      <w:r w:rsidRPr="008F0F90">
        <w:rPr>
          <w:rFonts w:cs="CMR9"/>
          <w:sz w:val="20"/>
          <w:szCs w:val="20"/>
        </w:rPr>
        <w:t>Spring</w:t>
      </w:r>
      <w:r w:rsidR="00EE745C" w:rsidRPr="008F0F90">
        <w:rPr>
          <w:rFonts w:cs="CMR9"/>
          <w:sz w:val="20"/>
          <w:szCs w:val="20"/>
        </w:rPr>
        <w:t>er</w:t>
      </w:r>
    </w:p>
    <w:sectPr w:rsidR="001C5963" w:rsidRPr="009A22BE" w:rsidSect="0058652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4B5" w:rsidRDefault="00EC04B5" w:rsidP="00D26585">
      <w:pPr>
        <w:spacing w:after="0" w:line="240" w:lineRule="auto"/>
      </w:pPr>
      <w:r>
        <w:separator/>
      </w:r>
    </w:p>
  </w:endnote>
  <w:endnote w:type="continuationSeparator" w:id="0">
    <w:p w:rsidR="00EC04B5" w:rsidRDefault="00EC04B5" w:rsidP="00D265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MR9">
    <w:panose1 w:val="00000000000000000000"/>
    <w:charset w:val="00"/>
    <w:family w:val="auto"/>
    <w:notTrueType/>
    <w:pitch w:val="default"/>
    <w:sig w:usb0="00000003" w:usb1="00000000" w:usb2="00000000" w:usb3="00000000" w:csb0="00000001" w:csb1="00000000"/>
  </w:font>
  <w:font w:name="CMTI9">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4B5" w:rsidRDefault="00EC04B5" w:rsidP="00D26585">
      <w:pPr>
        <w:spacing w:after="0" w:line="240" w:lineRule="auto"/>
      </w:pPr>
      <w:r>
        <w:separator/>
      </w:r>
    </w:p>
  </w:footnote>
  <w:footnote w:type="continuationSeparator" w:id="0">
    <w:p w:rsidR="00EC04B5" w:rsidRDefault="00EC04B5" w:rsidP="00D265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B1563C"/>
    <w:multiLevelType w:val="hybridMultilevel"/>
    <w:tmpl w:val="13A89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7625A28"/>
    <w:multiLevelType w:val="hybridMultilevel"/>
    <w:tmpl w:val="FD16BEDA"/>
    <w:lvl w:ilvl="0" w:tplc="C876FE2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FA3625C"/>
    <w:multiLevelType w:val="hybridMultilevel"/>
    <w:tmpl w:val="52D8A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1C5963"/>
    <w:rsid w:val="00047FFA"/>
    <w:rsid w:val="00185326"/>
    <w:rsid w:val="001A5AF8"/>
    <w:rsid w:val="001B3D92"/>
    <w:rsid w:val="001C5963"/>
    <w:rsid w:val="001E5CFE"/>
    <w:rsid w:val="0021339B"/>
    <w:rsid w:val="00241911"/>
    <w:rsid w:val="00282C16"/>
    <w:rsid w:val="002C4480"/>
    <w:rsid w:val="004B2D7A"/>
    <w:rsid w:val="00526F65"/>
    <w:rsid w:val="00546FB7"/>
    <w:rsid w:val="00586523"/>
    <w:rsid w:val="005D72DB"/>
    <w:rsid w:val="0065603E"/>
    <w:rsid w:val="006700FC"/>
    <w:rsid w:val="00677D6F"/>
    <w:rsid w:val="0069097E"/>
    <w:rsid w:val="006B63CC"/>
    <w:rsid w:val="00766525"/>
    <w:rsid w:val="008B1CC9"/>
    <w:rsid w:val="008F0F90"/>
    <w:rsid w:val="00915856"/>
    <w:rsid w:val="00950D01"/>
    <w:rsid w:val="00981C30"/>
    <w:rsid w:val="009A22BE"/>
    <w:rsid w:val="00A23B89"/>
    <w:rsid w:val="00A24DA6"/>
    <w:rsid w:val="00A967B1"/>
    <w:rsid w:val="00BE7947"/>
    <w:rsid w:val="00C06266"/>
    <w:rsid w:val="00CB4E46"/>
    <w:rsid w:val="00D13FB1"/>
    <w:rsid w:val="00D26585"/>
    <w:rsid w:val="00DA4D7C"/>
    <w:rsid w:val="00E853FD"/>
    <w:rsid w:val="00EC04B5"/>
    <w:rsid w:val="00EC7D15"/>
    <w:rsid w:val="00EE745C"/>
    <w:rsid w:val="00F11C30"/>
    <w:rsid w:val="00FE5BA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523"/>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5BA5"/>
    <w:pPr>
      <w:ind w:left="720"/>
      <w:contextualSpacing/>
    </w:pPr>
  </w:style>
  <w:style w:type="character" w:styleId="Hyperlink">
    <w:name w:val="Hyperlink"/>
    <w:basedOn w:val="DefaultParagraphFont"/>
    <w:uiPriority w:val="99"/>
    <w:unhideWhenUsed/>
    <w:rsid w:val="00FE5BA5"/>
    <w:rPr>
      <w:color w:val="0000FF" w:themeColor="hyperlink"/>
      <w:u w:val="single"/>
    </w:rPr>
  </w:style>
  <w:style w:type="paragraph" w:styleId="FootnoteText">
    <w:name w:val="footnote text"/>
    <w:basedOn w:val="Normal"/>
    <w:link w:val="FootnoteTextChar"/>
    <w:uiPriority w:val="99"/>
    <w:semiHidden/>
    <w:unhideWhenUsed/>
    <w:rsid w:val="00D265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6585"/>
    <w:rPr>
      <w:sz w:val="20"/>
      <w:szCs w:val="20"/>
    </w:rPr>
  </w:style>
  <w:style w:type="character" w:styleId="FootnoteReference">
    <w:name w:val="footnote reference"/>
    <w:basedOn w:val="DefaultParagraphFont"/>
    <w:uiPriority w:val="99"/>
    <w:semiHidden/>
    <w:unhideWhenUsed/>
    <w:rsid w:val="00D26585"/>
    <w:rPr>
      <w:vertAlign w:val="superscript"/>
    </w:rPr>
  </w:style>
  <w:style w:type="character" w:styleId="FollowedHyperlink">
    <w:name w:val="FollowedHyperlink"/>
    <w:basedOn w:val="DefaultParagraphFont"/>
    <w:uiPriority w:val="99"/>
    <w:semiHidden/>
    <w:unhideWhenUsed/>
    <w:rsid w:val="00766525"/>
    <w:rPr>
      <w:color w:val="800080" w:themeColor="followedHyperlink"/>
      <w:u w:val="single"/>
    </w:rPr>
  </w:style>
  <w:style w:type="paragraph" w:styleId="BalloonText">
    <w:name w:val="Balloon Text"/>
    <w:basedOn w:val="Normal"/>
    <w:link w:val="BalloonTextChar"/>
    <w:uiPriority w:val="99"/>
    <w:semiHidden/>
    <w:unhideWhenUsed/>
    <w:rsid w:val="00EC7D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D15"/>
    <w:rPr>
      <w:rFonts w:ascii="Tahoma" w:hAnsi="Tahoma" w:cs="Tahoma"/>
      <w:sz w:val="16"/>
      <w:szCs w:val="16"/>
    </w:rPr>
  </w:style>
  <w:style w:type="character" w:customStyle="1" w:styleId="apple-converted-space">
    <w:name w:val="apple-converted-space"/>
    <w:basedOn w:val="DefaultParagraphFont"/>
    <w:rsid w:val="004B2D7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ketchengine.co.uk/" TargetMode="Externa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package" Target="embeddings/Microsoft_Office_PowerPoint_Slide1.sld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www.linguee.com" TargetMode="External"/><Relationship Id="rId19" Type="http://schemas.openxmlformats.org/officeDocument/2006/relationships/hyperlink" Target="http://clic.cimec.unitn.it/marco/publications/lrec2004/bootcat_lrec_2004.pdf" TargetMode="External"/><Relationship Id="rId4" Type="http://schemas.openxmlformats.org/officeDocument/2006/relationships/settings" Target="settings.xml"/><Relationship Id="rId9" Type="http://schemas.openxmlformats.org/officeDocument/2006/relationships/hyperlink" Target="http://web2.tausdata.org:8801/"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D38194-BCC3-4E31-8BBE-F6B9E5FBD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6</Pages>
  <Words>1120</Words>
  <Characters>6390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7496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dc:creator>
  <cp:lastModifiedBy>Adam</cp:lastModifiedBy>
  <cp:revision>6</cp:revision>
  <dcterms:created xsi:type="dcterms:W3CDTF">2013-11-14T06:35:00Z</dcterms:created>
  <dcterms:modified xsi:type="dcterms:W3CDTF">2013-11-14T18:12:00Z</dcterms:modified>
</cp:coreProperties>
</file>